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8FB42" w14:textId="77777777" w:rsidR="00216DD0" w:rsidRDefault="00216DD0" w:rsidP="00216DD0">
      <w:pPr>
        <w:spacing w:before="100" w:beforeAutospacing="1" w:after="100" w:afterAutospacing="1"/>
        <w:outlineLvl w:val="1"/>
        <w:rPr>
          <w:rFonts w:ascii="Open Sans" w:eastAsia="Times New Roman" w:hAnsi="Open Sans" w:cs="Open Sans"/>
          <w:b/>
          <w:bCs/>
          <w:color w:val="000000"/>
          <w:sz w:val="36"/>
          <w:szCs w:val="36"/>
          <w:lang w:val="pt-BR"/>
        </w:rPr>
      </w:pPr>
      <w:r>
        <w:rPr>
          <w:rFonts w:ascii="Open Sans" w:eastAsia="Times New Roman" w:hAnsi="Open Sans" w:cs="Open Sans"/>
          <w:b/>
          <w:bCs/>
          <w:color w:val="000000"/>
          <w:sz w:val="36"/>
          <w:szCs w:val="36"/>
          <w:lang w:val="pt-BR"/>
        </w:rPr>
        <w:t>Consulta Vinculante N° 38/2024</w:t>
      </w:r>
    </w:p>
    <w:p w14:paraId="6DABD297" w14:textId="77777777" w:rsidR="00216DD0" w:rsidRDefault="00216DD0" w:rsidP="00216DD0">
      <w:pPr>
        <w:spacing w:before="100" w:beforeAutospacing="1" w:after="100" w:afterAutospacing="1"/>
        <w:rPr>
          <w:rFonts w:ascii="Arial" w:eastAsia="Times New Roman" w:hAnsi="Arial" w:cs="Arial"/>
          <w:color w:val="000000"/>
          <w:sz w:val="27"/>
          <w:szCs w:val="27"/>
          <w:lang w:val="pt-BR"/>
        </w:rPr>
      </w:pPr>
      <w:r>
        <w:rPr>
          <w:rFonts w:ascii="Arial" w:eastAsia="Times New Roman" w:hAnsi="Arial" w:cs="Arial"/>
          <w:color w:val="000000"/>
          <w:sz w:val="27"/>
          <w:szCs w:val="27"/>
          <w:lang w:val="pt-BR"/>
        </w:rPr>
        <w:t>SDG TLI</w:t>
      </w:r>
    </w:p>
    <w:p w14:paraId="73BACCDC" w14:textId="77777777" w:rsidR="00216DD0" w:rsidRDefault="00216DD0" w:rsidP="00216DD0">
      <w:pPr>
        <w:spacing w:before="100" w:beforeAutospacing="1" w:after="100" w:afterAutospacing="1"/>
        <w:rPr>
          <w:rFonts w:ascii="Arial" w:eastAsia="Times New Roman" w:hAnsi="Arial" w:cs="Arial"/>
          <w:color w:val="000000"/>
          <w:sz w:val="27"/>
          <w:szCs w:val="27"/>
          <w:lang w:val="pt-BR"/>
        </w:rPr>
      </w:pPr>
      <w:r>
        <w:rPr>
          <w:rFonts w:ascii="Arial" w:eastAsia="Times New Roman" w:hAnsi="Arial" w:cs="Arial"/>
          <w:color w:val="000000"/>
          <w:sz w:val="27"/>
          <w:szCs w:val="27"/>
          <w:lang w:val="pt-BR"/>
        </w:rPr>
        <w:t xml:space="preserve">17 de </w:t>
      </w:r>
      <w:proofErr w:type="spellStart"/>
      <w:r>
        <w:rPr>
          <w:rFonts w:ascii="Arial" w:eastAsia="Times New Roman" w:hAnsi="Arial" w:cs="Arial"/>
          <w:color w:val="000000"/>
          <w:sz w:val="27"/>
          <w:szCs w:val="27"/>
          <w:lang w:val="pt-BR"/>
        </w:rPr>
        <w:t>Octubre</w:t>
      </w:r>
      <w:proofErr w:type="spellEnd"/>
      <w:r>
        <w:rPr>
          <w:rFonts w:ascii="Arial" w:eastAsia="Times New Roman" w:hAnsi="Arial" w:cs="Arial"/>
          <w:color w:val="000000"/>
          <w:sz w:val="27"/>
          <w:szCs w:val="27"/>
          <w:lang w:val="pt-BR"/>
        </w:rPr>
        <w:t xml:space="preserve"> de 2024</w:t>
      </w:r>
    </w:p>
    <w:p w14:paraId="6052043D" w14:textId="77777777" w:rsidR="00216DD0" w:rsidRDefault="00216DD0" w:rsidP="00216DD0">
      <w:pPr>
        <w:rPr>
          <w:rFonts w:eastAsia="Times New Roman"/>
          <w:sz w:val="24"/>
          <w:szCs w:val="24"/>
        </w:rPr>
      </w:pPr>
      <w:r>
        <w:rPr>
          <w:rFonts w:eastAsia="Times New Roman"/>
          <w:sz w:val="24"/>
          <w:szCs w:val="24"/>
        </w:rPr>
        <w:pict w14:anchorId="6949E15E">
          <v:rect id="_x0000_i1026" style="width:441.9pt;height:.55pt" o:hrstd="t" o:hrnoshade="t" o:hr="t" fillcolor="black" stroked="f"/>
        </w:pict>
      </w:r>
    </w:p>
    <w:p w14:paraId="45797CCA" w14:textId="77777777" w:rsidR="00216DD0" w:rsidRDefault="00216DD0" w:rsidP="00216DD0">
      <w:pPr>
        <w:spacing w:before="100" w:beforeAutospacing="1" w:after="100" w:afterAutospacing="1"/>
        <w:rPr>
          <w:rFonts w:ascii="Arial" w:eastAsia="Times New Roman" w:hAnsi="Arial" w:cs="Arial"/>
          <w:b/>
          <w:bCs/>
          <w:color w:val="000000"/>
          <w:sz w:val="27"/>
          <w:szCs w:val="27"/>
        </w:rPr>
      </w:pPr>
      <w:r>
        <w:rPr>
          <w:rFonts w:ascii="Arial" w:eastAsia="Times New Roman" w:hAnsi="Arial" w:cs="Arial"/>
          <w:b/>
          <w:bCs/>
          <w:color w:val="000000"/>
          <w:sz w:val="27"/>
          <w:szCs w:val="27"/>
        </w:rPr>
        <w:t>DATOS DE PUBLICACIÓN</w:t>
      </w:r>
    </w:p>
    <w:p w14:paraId="60B5290C" w14:textId="77777777" w:rsidR="00216DD0" w:rsidRDefault="00216DD0" w:rsidP="00216DD0">
      <w:pPr>
        <w:spacing w:before="100" w:beforeAutospacing="1" w:after="100" w:afterAutospacing="1"/>
        <w:rPr>
          <w:rFonts w:ascii="Arial" w:eastAsia="Times New Roman" w:hAnsi="Arial" w:cs="Arial"/>
          <w:b/>
          <w:bCs/>
          <w:color w:val="000000"/>
          <w:sz w:val="27"/>
          <w:szCs w:val="27"/>
        </w:rPr>
      </w:pPr>
      <w:r>
        <w:rPr>
          <w:rFonts w:ascii="Arial" w:eastAsia="Times New Roman" w:hAnsi="Arial" w:cs="Arial"/>
          <w:b/>
          <w:bCs/>
          <w:color w:val="000000"/>
          <w:sz w:val="27"/>
          <w:szCs w:val="27"/>
        </w:rPr>
        <w:t>ASUNTO</w:t>
      </w:r>
    </w:p>
    <w:p w14:paraId="20F49F22" w14:textId="77777777" w:rsidR="00216DD0" w:rsidRDefault="00216DD0" w:rsidP="00216DD0">
      <w:pPr>
        <w:spacing w:before="100" w:beforeAutospacing="1" w:after="100" w:afterAutospacing="1"/>
        <w:rPr>
          <w:rFonts w:ascii="Arial" w:eastAsia="Times New Roman" w:hAnsi="Arial" w:cs="Arial"/>
          <w:color w:val="000000"/>
          <w:sz w:val="27"/>
          <w:szCs w:val="27"/>
        </w:rPr>
      </w:pPr>
      <w:r>
        <w:rPr>
          <w:rFonts w:ascii="Arial" w:eastAsia="Times New Roman" w:hAnsi="Arial" w:cs="Arial"/>
          <w:color w:val="000000"/>
          <w:sz w:val="27"/>
          <w:szCs w:val="27"/>
        </w:rPr>
        <w:t>IMPUESTO A LAS GANANCIAS</w:t>
      </w:r>
    </w:p>
    <w:p w14:paraId="638992CC" w14:textId="77777777" w:rsidR="00216DD0" w:rsidRDefault="00216DD0" w:rsidP="00216DD0">
      <w:pPr>
        <w:rPr>
          <w:rFonts w:eastAsia="Times New Roman"/>
          <w:sz w:val="24"/>
          <w:szCs w:val="24"/>
        </w:rPr>
      </w:pPr>
      <w:r>
        <w:rPr>
          <w:rFonts w:eastAsia="Times New Roman"/>
          <w:sz w:val="24"/>
          <w:szCs w:val="24"/>
        </w:rPr>
        <w:pict w14:anchorId="5257B4B4">
          <v:rect id="_x0000_i1027" style="width:441.9pt;height:.55pt" o:hrstd="t" o:hrnoshade="t" o:hr="t" fillcolor="black" stroked="f"/>
        </w:pict>
      </w:r>
    </w:p>
    <w:p w14:paraId="2FD185D6" w14:textId="54882C78" w:rsidR="00216DD0" w:rsidRDefault="00216DD0" w:rsidP="00216DD0">
      <w:pPr>
        <w:spacing w:before="100" w:beforeAutospacing="1" w:after="100" w:afterAutospacing="1"/>
        <w:rPr>
          <w:rFonts w:ascii="Arial" w:eastAsia="Times New Roman" w:hAnsi="Arial" w:cs="Arial"/>
          <w:b/>
          <w:bCs/>
          <w:color w:val="000000"/>
          <w:sz w:val="27"/>
          <w:szCs w:val="27"/>
        </w:rPr>
      </w:pPr>
      <w:r>
        <w:rPr>
          <w:rFonts w:ascii="Arial" w:eastAsia="Times New Roman" w:hAnsi="Arial" w:cs="Arial"/>
          <w:b/>
          <w:noProof/>
          <w:color w:val="000000"/>
          <w:sz w:val="27"/>
          <w:szCs w:val="27"/>
        </w:rPr>
        <w:drawing>
          <wp:inline distT="0" distB="0" distL="0" distR="0" wp14:anchorId="09BC4A44" wp14:editId="2FA7D44C">
            <wp:extent cx="232410" cy="232410"/>
            <wp:effectExtent l="0" t="0" r="15240" b="15240"/>
            <wp:docPr id="167590093" name="Imagen 2" descr="Contra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a_img" descr="Contraer"/>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232410" cy="232410"/>
                    </a:xfrm>
                    <a:prstGeom prst="rect">
                      <a:avLst/>
                    </a:prstGeom>
                    <a:noFill/>
                    <a:ln>
                      <a:noFill/>
                    </a:ln>
                  </pic:spPr>
                </pic:pic>
              </a:graphicData>
            </a:graphic>
          </wp:inline>
        </w:drawing>
      </w:r>
      <w:r>
        <w:rPr>
          <w:rFonts w:ascii="Arial" w:eastAsia="Times New Roman" w:hAnsi="Arial" w:cs="Arial"/>
          <w:b/>
          <w:bCs/>
          <w:color w:val="000000"/>
          <w:sz w:val="27"/>
          <w:szCs w:val="27"/>
        </w:rPr>
        <w:t> TEMA</w:t>
      </w:r>
    </w:p>
    <w:p w14:paraId="14082189" w14:textId="77777777" w:rsidR="00216DD0" w:rsidRDefault="00216DD0" w:rsidP="00216DD0">
      <w:pPr>
        <w:spacing w:before="100" w:beforeAutospacing="1" w:after="100" w:afterAutospacing="1"/>
        <w:rPr>
          <w:rFonts w:ascii="Arial" w:eastAsia="Times New Roman" w:hAnsi="Arial" w:cs="Arial"/>
          <w:color w:val="000000"/>
          <w:sz w:val="27"/>
          <w:szCs w:val="27"/>
        </w:rPr>
      </w:pPr>
      <w:r>
        <w:rPr>
          <w:rFonts w:ascii="Arial" w:eastAsia="Times New Roman" w:hAnsi="Arial" w:cs="Arial"/>
          <w:color w:val="000000"/>
          <w:sz w:val="27"/>
          <w:szCs w:val="27"/>
        </w:rPr>
        <w:t>SUCURSAL ARGENTINA-REORGANIZACION DE EMPRESAS-EMPRESA DEL EXTERIOR</w:t>
      </w:r>
    </w:p>
    <w:p w14:paraId="16FB407D" w14:textId="77777777" w:rsidR="00216DD0" w:rsidRDefault="00216DD0" w:rsidP="00216DD0">
      <w:pPr>
        <w:spacing w:before="100" w:beforeAutospacing="1" w:after="100" w:afterAutospacing="1"/>
        <w:rPr>
          <w:rFonts w:ascii="Arial" w:eastAsia="Times New Roman" w:hAnsi="Arial" w:cs="Arial"/>
          <w:b/>
          <w:bCs/>
          <w:color w:val="000000"/>
          <w:sz w:val="27"/>
          <w:szCs w:val="27"/>
        </w:rPr>
      </w:pPr>
      <w:r>
        <w:rPr>
          <w:rFonts w:ascii="Arial" w:eastAsia="Times New Roman" w:hAnsi="Arial" w:cs="Arial"/>
          <w:b/>
          <w:bCs/>
          <w:color w:val="000000"/>
          <w:sz w:val="27"/>
          <w:szCs w:val="27"/>
        </w:rPr>
        <w:t>SUMARIO</w:t>
      </w:r>
    </w:p>
    <w:p w14:paraId="3FE5CC55" w14:textId="77777777" w:rsidR="00216DD0" w:rsidRDefault="00216DD0" w:rsidP="00216DD0">
      <w:pPr>
        <w:rPr>
          <w:rFonts w:eastAsia="Times New Roman"/>
          <w:sz w:val="24"/>
          <w:szCs w:val="24"/>
        </w:rPr>
      </w:pPr>
      <w:r>
        <w:rPr>
          <w:rFonts w:eastAsia="Times New Roman"/>
          <w:sz w:val="24"/>
          <w:szCs w:val="24"/>
        </w:rPr>
        <w:pict w14:anchorId="1779C342">
          <v:rect id="_x0000_i1029" style="width:441.9pt;height:.55pt" o:hrstd="t" o:hrnoshade="t" o:hr="t" fillcolor="black" stroked="f"/>
        </w:pict>
      </w:r>
    </w:p>
    <w:p w14:paraId="6DDCB94F" w14:textId="77777777" w:rsidR="00216DD0" w:rsidRDefault="00216DD0" w:rsidP="00216DD0">
      <w:pPr>
        <w:spacing w:before="100" w:beforeAutospacing="1" w:after="100" w:afterAutospacing="1"/>
        <w:rPr>
          <w:rFonts w:ascii="Arial" w:eastAsia="Times New Roman" w:hAnsi="Arial" w:cs="Arial"/>
          <w:b/>
          <w:bCs/>
          <w:color w:val="000000"/>
          <w:sz w:val="27"/>
          <w:szCs w:val="27"/>
        </w:rPr>
      </w:pPr>
      <w:r>
        <w:rPr>
          <w:rFonts w:ascii="Arial" w:eastAsia="Times New Roman" w:hAnsi="Arial" w:cs="Arial"/>
          <w:b/>
          <w:bCs/>
          <w:color w:val="000000"/>
          <w:sz w:val="27"/>
          <w:szCs w:val="27"/>
        </w:rPr>
        <w:t>TEXTO</w:t>
      </w:r>
    </w:p>
    <w:p w14:paraId="47BE0323" w14:textId="77777777" w:rsidR="00216DD0" w:rsidRDefault="00216DD0" w:rsidP="00216DD0">
      <w:pPr>
        <w:spacing w:before="100" w:beforeAutospacing="1" w:after="100" w:afterAutospacing="1"/>
        <w:rPr>
          <w:rFonts w:ascii="Arial" w:eastAsia="Times New Roman" w:hAnsi="Arial" w:cs="Arial"/>
          <w:color w:val="000000"/>
          <w:sz w:val="27"/>
          <w:szCs w:val="27"/>
        </w:rPr>
      </w:pPr>
      <w:r>
        <w:rPr>
          <w:rFonts w:ascii="Arial" w:eastAsia="Times New Roman" w:hAnsi="Arial" w:cs="Arial"/>
          <w:color w:val="000000"/>
          <w:sz w:val="27"/>
          <w:szCs w:val="27"/>
        </w:rPr>
        <w:t>I. Se consulta si podría encuadrarse bajo la figura de transferencia dentro de un mismo conjunto económico de acuerdo a lo establecido por el inciso c) del sexto párrafo del Artículo 80 de la Ley de Impuesto a las Ganancias (</w:t>
      </w:r>
      <w:proofErr w:type="spellStart"/>
      <w:r>
        <w:rPr>
          <w:rFonts w:ascii="Arial" w:eastAsia="Times New Roman" w:hAnsi="Arial" w:cs="Arial"/>
          <w:color w:val="000000"/>
          <w:sz w:val="27"/>
          <w:szCs w:val="27"/>
        </w:rPr>
        <w:t>t.o</w:t>
      </w:r>
      <w:proofErr w:type="spellEnd"/>
      <w:r>
        <w:rPr>
          <w:rFonts w:ascii="Arial" w:eastAsia="Times New Roman" w:hAnsi="Arial" w:cs="Arial"/>
          <w:color w:val="000000"/>
          <w:sz w:val="27"/>
          <w:szCs w:val="27"/>
        </w:rPr>
        <w:t>. en 2019 y sus modificaciones) a la transferencia de los activos y pasivos que se efectuará entre una sucursal existente y una nueva sucursal a crearse en el país, ello como consecuencia de la escisión que llevará adelante la casa matriz AA S.A. de C.V.</w:t>
      </w:r>
      <w:r>
        <w:rPr>
          <w:rFonts w:ascii="Arial" w:eastAsia="Times New Roman" w:hAnsi="Arial" w:cs="Arial"/>
          <w:color w:val="000000"/>
          <w:sz w:val="27"/>
          <w:szCs w:val="27"/>
        </w:rPr>
        <w:br/>
      </w:r>
      <w:r>
        <w:rPr>
          <w:rFonts w:ascii="Arial" w:eastAsia="Times New Roman" w:hAnsi="Arial" w:cs="Arial"/>
          <w:color w:val="000000"/>
          <w:sz w:val="27"/>
          <w:szCs w:val="27"/>
        </w:rPr>
        <w:br/>
        <w:t xml:space="preserve">En caso afirmativo, se inquiere si la nueva sucursal –BB </w:t>
      </w:r>
      <w:proofErr w:type="spellStart"/>
      <w:r>
        <w:rPr>
          <w:rFonts w:ascii="Arial" w:eastAsia="Times New Roman" w:hAnsi="Arial" w:cs="Arial"/>
          <w:color w:val="000000"/>
          <w:sz w:val="27"/>
          <w:szCs w:val="27"/>
        </w:rPr>
        <w:t>NewCo</w:t>
      </w:r>
      <w:proofErr w:type="spellEnd"/>
      <w:r>
        <w:rPr>
          <w:rFonts w:ascii="Arial" w:eastAsia="Times New Roman" w:hAnsi="Arial" w:cs="Arial"/>
          <w:color w:val="000000"/>
          <w:sz w:val="27"/>
          <w:szCs w:val="27"/>
        </w:rPr>
        <w:t xml:space="preserve"> Suc. </w:t>
      </w:r>
      <w:proofErr w:type="gramStart"/>
      <w:r>
        <w:rPr>
          <w:rFonts w:ascii="Arial" w:eastAsia="Times New Roman" w:hAnsi="Arial" w:cs="Arial"/>
          <w:color w:val="000000"/>
          <w:sz w:val="27"/>
          <w:szCs w:val="27"/>
        </w:rPr>
        <w:t>Arg.-</w:t>
      </w:r>
      <w:proofErr w:type="gramEnd"/>
      <w:r>
        <w:rPr>
          <w:rFonts w:ascii="Arial" w:eastAsia="Times New Roman" w:hAnsi="Arial" w:cs="Arial"/>
          <w:color w:val="000000"/>
          <w:sz w:val="27"/>
          <w:szCs w:val="27"/>
        </w:rPr>
        <w:t xml:space="preserve"> mantendría inalterados todos los atributos fiscales (CUIT, representantes, domicilio fiscal, obligaciones y créditos fiscales, etc.) que previamente se encontraban en cabeza de AA Suc. Arg., y para el caso de que se </w:t>
      </w:r>
      <w:proofErr w:type="gramStart"/>
      <w:r>
        <w:rPr>
          <w:rFonts w:ascii="Arial" w:eastAsia="Times New Roman" w:hAnsi="Arial" w:cs="Arial"/>
          <w:color w:val="000000"/>
          <w:sz w:val="27"/>
          <w:szCs w:val="27"/>
        </w:rPr>
        <w:t>determinara</w:t>
      </w:r>
      <w:proofErr w:type="gramEnd"/>
      <w:r>
        <w:rPr>
          <w:rFonts w:ascii="Arial" w:eastAsia="Times New Roman" w:hAnsi="Arial" w:cs="Arial"/>
          <w:color w:val="000000"/>
          <w:sz w:val="27"/>
          <w:szCs w:val="27"/>
        </w:rPr>
        <w:t xml:space="preserve"> que la transferencia en trato se encuentra alcanzada por el gravamen requiere confirmación acerca del sujeto responsable del ingreso del impuesto resultante.</w:t>
      </w:r>
      <w:r>
        <w:rPr>
          <w:rFonts w:ascii="Arial" w:eastAsia="Times New Roman" w:hAnsi="Arial" w:cs="Arial"/>
          <w:color w:val="000000"/>
          <w:sz w:val="27"/>
          <w:szCs w:val="27"/>
        </w:rPr>
        <w:br/>
      </w:r>
      <w:r>
        <w:rPr>
          <w:rFonts w:ascii="Arial" w:eastAsia="Times New Roman" w:hAnsi="Arial" w:cs="Arial"/>
          <w:color w:val="000000"/>
          <w:sz w:val="27"/>
          <w:szCs w:val="27"/>
        </w:rPr>
        <w:br/>
        <w:t>A su vez, consulta sobre el tratamiento tributario que corresponde aplicar a la “</w:t>
      </w:r>
      <w:proofErr w:type="spellStart"/>
      <w:r>
        <w:rPr>
          <w:rFonts w:ascii="Arial" w:eastAsia="Times New Roman" w:hAnsi="Arial" w:cs="Arial"/>
          <w:color w:val="000000"/>
          <w:sz w:val="27"/>
          <w:szCs w:val="27"/>
        </w:rPr>
        <w:t>redomiciliación</w:t>
      </w:r>
      <w:proofErr w:type="spellEnd"/>
      <w:r>
        <w:rPr>
          <w:rFonts w:ascii="Arial" w:eastAsia="Times New Roman" w:hAnsi="Arial" w:cs="Arial"/>
          <w:color w:val="000000"/>
          <w:sz w:val="27"/>
          <w:szCs w:val="27"/>
        </w:rPr>
        <w:t xml:space="preserve">” que efectuará BB </w:t>
      </w:r>
      <w:proofErr w:type="spellStart"/>
      <w:r>
        <w:rPr>
          <w:rFonts w:ascii="Arial" w:eastAsia="Times New Roman" w:hAnsi="Arial" w:cs="Arial"/>
          <w:color w:val="000000"/>
          <w:sz w:val="27"/>
          <w:szCs w:val="27"/>
        </w:rPr>
        <w:t>NewCo</w:t>
      </w:r>
      <w:proofErr w:type="spellEnd"/>
      <w:r>
        <w:rPr>
          <w:rFonts w:ascii="Arial" w:eastAsia="Times New Roman" w:hAnsi="Arial" w:cs="Arial"/>
          <w:color w:val="000000"/>
          <w:sz w:val="27"/>
          <w:szCs w:val="27"/>
        </w:rPr>
        <w:t xml:space="preserve"> en la República </w:t>
      </w:r>
      <w:r>
        <w:rPr>
          <w:rFonts w:ascii="Arial" w:eastAsia="Times New Roman" w:hAnsi="Arial" w:cs="Arial"/>
          <w:color w:val="000000"/>
          <w:sz w:val="27"/>
          <w:szCs w:val="27"/>
        </w:rPr>
        <w:lastRenderedPageBreak/>
        <w:t>Argentina en los términos del Artículo 124 de la Ley 19.550.</w:t>
      </w:r>
      <w:r>
        <w:rPr>
          <w:rFonts w:ascii="Arial" w:eastAsia="Times New Roman" w:hAnsi="Arial" w:cs="Arial"/>
          <w:color w:val="000000"/>
          <w:sz w:val="27"/>
          <w:szCs w:val="27"/>
        </w:rPr>
        <w:br/>
      </w:r>
      <w:r>
        <w:rPr>
          <w:rFonts w:ascii="Arial" w:eastAsia="Times New Roman" w:hAnsi="Arial" w:cs="Arial"/>
          <w:color w:val="000000"/>
          <w:sz w:val="27"/>
          <w:szCs w:val="27"/>
        </w:rPr>
        <w:br/>
        <w:t>II. Se concluyó que:</w:t>
      </w:r>
      <w:r>
        <w:rPr>
          <w:rFonts w:ascii="Arial" w:eastAsia="Times New Roman" w:hAnsi="Arial" w:cs="Arial"/>
          <w:color w:val="000000"/>
          <w:sz w:val="27"/>
          <w:szCs w:val="27"/>
        </w:rPr>
        <w:br/>
      </w:r>
      <w:r>
        <w:rPr>
          <w:rFonts w:ascii="Arial" w:eastAsia="Times New Roman" w:hAnsi="Arial" w:cs="Arial"/>
          <w:color w:val="000000"/>
          <w:sz w:val="27"/>
          <w:szCs w:val="27"/>
        </w:rPr>
        <w:br/>
        <w:t xml:space="preserve">A) Dado que en el presente caso la titular indirecta de la sucursal que oficia de antecesora, es decir ZZ </w:t>
      </w:r>
      <w:proofErr w:type="spellStart"/>
      <w:r>
        <w:rPr>
          <w:rFonts w:ascii="Arial" w:eastAsia="Times New Roman" w:hAnsi="Arial" w:cs="Arial"/>
          <w:color w:val="000000"/>
          <w:sz w:val="27"/>
          <w:szCs w:val="27"/>
        </w:rPr>
        <w:t>Corporation</w:t>
      </w:r>
      <w:proofErr w:type="spellEnd"/>
      <w:r>
        <w:rPr>
          <w:rFonts w:ascii="Arial" w:eastAsia="Times New Roman" w:hAnsi="Arial" w:cs="Arial"/>
          <w:color w:val="000000"/>
          <w:sz w:val="27"/>
          <w:szCs w:val="27"/>
        </w:rPr>
        <w:t xml:space="preserve"> -firma estadounidense-, luego de acaecida la escisión en el exterior, continuará poseyendo el 100% del capital de AA S.A. de C.V. y también pasará a poseer el 100% de la firma </w:t>
      </w:r>
      <w:proofErr w:type="spellStart"/>
      <w:r>
        <w:rPr>
          <w:rFonts w:ascii="Arial" w:eastAsia="Times New Roman" w:hAnsi="Arial" w:cs="Arial"/>
          <w:color w:val="000000"/>
          <w:sz w:val="27"/>
          <w:szCs w:val="27"/>
        </w:rPr>
        <w:t>escisionaria</w:t>
      </w:r>
      <w:proofErr w:type="spellEnd"/>
      <w:r>
        <w:rPr>
          <w:rFonts w:ascii="Arial" w:eastAsia="Times New Roman" w:hAnsi="Arial" w:cs="Arial"/>
          <w:color w:val="000000"/>
          <w:sz w:val="27"/>
          <w:szCs w:val="27"/>
        </w:rPr>
        <w:t xml:space="preserve"> BB </w:t>
      </w:r>
      <w:proofErr w:type="spellStart"/>
      <w:r>
        <w:rPr>
          <w:rFonts w:ascii="Arial" w:eastAsia="Times New Roman" w:hAnsi="Arial" w:cs="Arial"/>
          <w:color w:val="000000"/>
          <w:sz w:val="27"/>
          <w:szCs w:val="27"/>
        </w:rPr>
        <w:t>NewCo</w:t>
      </w:r>
      <w:proofErr w:type="spellEnd"/>
      <w:r>
        <w:rPr>
          <w:rFonts w:ascii="Arial" w:eastAsia="Times New Roman" w:hAnsi="Arial" w:cs="Arial"/>
          <w:color w:val="000000"/>
          <w:sz w:val="27"/>
          <w:szCs w:val="27"/>
        </w:rPr>
        <w:t xml:space="preserve">, que será titular de la sucursal que tendrá el carácter de continuadora, la transferencia de activos y pasivos entre AA Suc. Arg. y BB </w:t>
      </w:r>
      <w:proofErr w:type="spellStart"/>
      <w:r>
        <w:rPr>
          <w:rFonts w:ascii="Arial" w:eastAsia="Times New Roman" w:hAnsi="Arial" w:cs="Arial"/>
          <w:color w:val="000000"/>
          <w:sz w:val="27"/>
          <w:szCs w:val="27"/>
        </w:rPr>
        <w:t>NewCo</w:t>
      </w:r>
      <w:proofErr w:type="spellEnd"/>
      <w:r>
        <w:rPr>
          <w:rFonts w:ascii="Arial" w:eastAsia="Times New Roman" w:hAnsi="Arial" w:cs="Arial"/>
          <w:color w:val="000000"/>
          <w:sz w:val="27"/>
          <w:szCs w:val="27"/>
        </w:rPr>
        <w:t xml:space="preserve"> Suc. Arg., ambas pertenecientes a un mismo conjunto económico, podrá encuadrarse en el inciso c) del sexto párrafo del Artículo 80 de la Ley de Impuesto a las Ganancias, ello mientras la reestructura cumpla además con los otros requisitos que exige dicha Ley y su reglamentación (v.g.: mantenimiento de la participación en el capital, mantenimiento de la actividad de la antecesora) para gozar de los beneficios y atributos fiscales que el régimen citado otorga con relación al patrimonio y actividad transferidos.</w:t>
      </w:r>
      <w:r>
        <w:rPr>
          <w:rFonts w:ascii="Arial" w:eastAsia="Times New Roman" w:hAnsi="Arial" w:cs="Arial"/>
          <w:color w:val="000000"/>
          <w:sz w:val="27"/>
          <w:szCs w:val="27"/>
        </w:rPr>
        <w:br/>
      </w:r>
      <w:r>
        <w:rPr>
          <w:rFonts w:ascii="Arial" w:eastAsia="Times New Roman" w:hAnsi="Arial" w:cs="Arial"/>
          <w:color w:val="000000"/>
          <w:sz w:val="27"/>
          <w:szCs w:val="27"/>
        </w:rPr>
        <w:br/>
        <w:t xml:space="preserve">B) Los derechos y obligaciones fiscales trasladables para todos los procesos de reorganización previstos por la normativa se encuentran enumerados en el Artículo 81 de la Ley del gravamen, no siendo transferibles entre una sucursal y otra atributos tales como la CUIT, la designación de representantes o el domicilio fiscal, mencionados por el presentante, por lo que BB </w:t>
      </w:r>
      <w:proofErr w:type="spellStart"/>
      <w:r>
        <w:rPr>
          <w:rFonts w:ascii="Arial" w:eastAsia="Times New Roman" w:hAnsi="Arial" w:cs="Arial"/>
          <w:color w:val="000000"/>
          <w:sz w:val="27"/>
          <w:szCs w:val="27"/>
        </w:rPr>
        <w:t>NewCo</w:t>
      </w:r>
      <w:proofErr w:type="spellEnd"/>
      <w:r>
        <w:rPr>
          <w:rFonts w:ascii="Arial" w:eastAsia="Times New Roman" w:hAnsi="Arial" w:cs="Arial"/>
          <w:color w:val="000000"/>
          <w:sz w:val="27"/>
          <w:szCs w:val="27"/>
        </w:rPr>
        <w:t xml:space="preserve"> Suc. </w:t>
      </w:r>
      <w:proofErr w:type="spellStart"/>
      <w:r>
        <w:rPr>
          <w:rFonts w:ascii="Arial" w:eastAsia="Times New Roman" w:hAnsi="Arial" w:cs="Arial"/>
          <w:color w:val="000000"/>
          <w:sz w:val="27"/>
          <w:szCs w:val="27"/>
        </w:rPr>
        <w:t>Arg</w:t>
      </w:r>
      <w:proofErr w:type="spellEnd"/>
      <w:r>
        <w:rPr>
          <w:rFonts w:ascii="Arial" w:eastAsia="Times New Roman" w:hAnsi="Arial" w:cs="Arial"/>
          <w:color w:val="000000"/>
          <w:sz w:val="27"/>
          <w:szCs w:val="27"/>
        </w:rPr>
        <w:t xml:space="preserve">, a los fines de obtener su identificación fiscal como sucursal de empresa extranjera en el país, deberá solicitar su inscripción -CUIT- y denunciar su domicilio fiscal en el Organismo, </w:t>
      </w:r>
      <w:proofErr w:type="gramStart"/>
      <w:r>
        <w:rPr>
          <w:rFonts w:ascii="Arial" w:eastAsia="Times New Roman" w:hAnsi="Arial" w:cs="Arial"/>
          <w:color w:val="000000"/>
          <w:sz w:val="27"/>
          <w:szCs w:val="27"/>
        </w:rPr>
        <w:t>de acuerdo a</w:t>
      </w:r>
      <w:proofErr w:type="gramEnd"/>
      <w:r>
        <w:rPr>
          <w:rFonts w:ascii="Arial" w:eastAsia="Times New Roman" w:hAnsi="Arial" w:cs="Arial"/>
          <w:color w:val="000000"/>
          <w:sz w:val="27"/>
          <w:szCs w:val="27"/>
        </w:rPr>
        <w:t xml:space="preserve"> lo establecido por las Resoluciones Generales (AFIP) </w:t>
      </w:r>
      <w:proofErr w:type="spellStart"/>
      <w:r>
        <w:rPr>
          <w:rFonts w:ascii="Arial" w:eastAsia="Times New Roman" w:hAnsi="Arial" w:cs="Arial"/>
          <w:color w:val="000000"/>
          <w:sz w:val="27"/>
          <w:szCs w:val="27"/>
        </w:rPr>
        <w:t>Nros</w:t>
      </w:r>
      <w:proofErr w:type="spellEnd"/>
      <w:r>
        <w:rPr>
          <w:rFonts w:ascii="Arial" w:eastAsia="Times New Roman" w:hAnsi="Arial" w:cs="Arial"/>
          <w:color w:val="000000"/>
          <w:sz w:val="27"/>
          <w:szCs w:val="27"/>
        </w:rPr>
        <w:t>. 10/97 y 4991/21.</w:t>
      </w:r>
      <w:r>
        <w:rPr>
          <w:rFonts w:ascii="Arial" w:eastAsia="Times New Roman" w:hAnsi="Arial" w:cs="Arial"/>
          <w:color w:val="000000"/>
          <w:sz w:val="27"/>
          <w:szCs w:val="27"/>
        </w:rPr>
        <w:br/>
      </w:r>
      <w:r>
        <w:rPr>
          <w:rFonts w:ascii="Arial" w:eastAsia="Times New Roman" w:hAnsi="Arial" w:cs="Arial"/>
          <w:color w:val="000000"/>
          <w:sz w:val="27"/>
          <w:szCs w:val="27"/>
        </w:rPr>
        <w:br/>
        <w:t xml:space="preserve">C) Específicamente, con relación a los quebrantos y demás franquicias impositivas trasladables y el requisito de mantenimiento previo de la participación en el capital de las empresas que se reorganizan, y en tanto ZZ </w:t>
      </w:r>
      <w:proofErr w:type="spellStart"/>
      <w:r>
        <w:rPr>
          <w:rFonts w:ascii="Arial" w:eastAsia="Times New Roman" w:hAnsi="Arial" w:cs="Arial"/>
          <w:color w:val="000000"/>
          <w:sz w:val="27"/>
          <w:szCs w:val="27"/>
        </w:rPr>
        <w:t>Corporation</w:t>
      </w:r>
      <w:proofErr w:type="spellEnd"/>
      <w:r>
        <w:rPr>
          <w:rFonts w:ascii="Arial" w:eastAsia="Times New Roman" w:hAnsi="Arial" w:cs="Arial"/>
          <w:color w:val="000000"/>
          <w:sz w:val="27"/>
          <w:szCs w:val="27"/>
        </w:rPr>
        <w:t xml:space="preserve"> como líder del grupo habría mantenido indirectamente el 100% del capital accionario de AA S.A. de C.V. dentro de los dos años anteriores al momento de la transferencia entre su sucursal -AA Suc. </w:t>
      </w:r>
      <w:proofErr w:type="gramStart"/>
      <w:r>
        <w:rPr>
          <w:rFonts w:ascii="Arial" w:eastAsia="Times New Roman" w:hAnsi="Arial" w:cs="Arial"/>
          <w:color w:val="000000"/>
          <w:sz w:val="27"/>
          <w:szCs w:val="27"/>
        </w:rPr>
        <w:t>Arg.-</w:t>
      </w:r>
      <w:proofErr w:type="gramEnd"/>
      <w:r>
        <w:rPr>
          <w:rFonts w:ascii="Arial" w:eastAsia="Times New Roman" w:hAnsi="Arial" w:cs="Arial"/>
          <w:color w:val="000000"/>
          <w:sz w:val="27"/>
          <w:szCs w:val="27"/>
        </w:rPr>
        <w:t xml:space="preserve"> y la sucursal que se creará a ese efecto -BB </w:t>
      </w:r>
      <w:proofErr w:type="spellStart"/>
      <w:r>
        <w:rPr>
          <w:rFonts w:ascii="Arial" w:eastAsia="Times New Roman" w:hAnsi="Arial" w:cs="Arial"/>
          <w:color w:val="000000"/>
          <w:sz w:val="27"/>
          <w:szCs w:val="27"/>
        </w:rPr>
        <w:t>NewCo</w:t>
      </w:r>
      <w:proofErr w:type="spellEnd"/>
      <w:r>
        <w:rPr>
          <w:rFonts w:ascii="Arial" w:eastAsia="Times New Roman" w:hAnsi="Arial" w:cs="Arial"/>
          <w:color w:val="000000"/>
          <w:sz w:val="27"/>
          <w:szCs w:val="27"/>
        </w:rPr>
        <w:t xml:space="preserve"> Suc. </w:t>
      </w:r>
      <w:proofErr w:type="spellStart"/>
      <w:r>
        <w:rPr>
          <w:rFonts w:ascii="Arial" w:eastAsia="Times New Roman" w:hAnsi="Arial" w:cs="Arial"/>
          <w:color w:val="000000"/>
          <w:sz w:val="27"/>
          <w:szCs w:val="27"/>
        </w:rPr>
        <w:t>Arg</w:t>
      </w:r>
      <w:proofErr w:type="spellEnd"/>
      <w:r>
        <w:rPr>
          <w:rFonts w:ascii="Arial" w:eastAsia="Times New Roman" w:hAnsi="Arial" w:cs="Arial"/>
          <w:color w:val="000000"/>
          <w:sz w:val="27"/>
          <w:szCs w:val="27"/>
        </w:rPr>
        <w:t>-, el requisito dispuesto en el último párrafo del Artículo 80 de la Ley del gravamen se hallaría cumplido.</w:t>
      </w:r>
      <w:r>
        <w:rPr>
          <w:rFonts w:ascii="Arial" w:eastAsia="Times New Roman" w:hAnsi="Arial" w:cs="Arial"/>
          <w:color w:val="000000"/>
          <w:sz w:val="27"/>
          <w:szCs w:val="27"/>
        </w:rPr>
        <w:br/>
      </w:r>
      <w:r>
        <w:rPr>
          <w:rFonts w:ascii="Arial" w:eastAsia="Times New Roman" w:hAnsi="Arial" w:cs="Arial"/>
          <w:color w:val="000000"/>
          <w:sz w:val="27"/>
          <w:szCs w:val="27"/>
        </w:rPr>
        <w:br/>
        <w:t xml:space="preserve">D) El proceso de regularización societaria -posterior a la reestructuración objeto de consulta- implica una adecuación al régimen jurídico nacional mediante la adopción de un tipo societario </w:t>
      </w:r>
      <w:r>
        <w:rPr>
          <w:rFonts w:ascii="Arial" w:eastAsia="Times New Roman" w:hAnsi="Arial" w:cs="Arial"/>
          <w:color w:val="000000"/>
          <w:sz w:val="27"/>
          <w:szCs w:val="27"/>
        </w:rPr>
        <w:lastRenderedPageBreak/>
        <w:t xml:space="preserve">determinado, conforme lo previsto por el Capítulo IV, del Título III del Libro III del Anexo A de la Resolución General </w:t>
      </w:r>
      <w:proofErr w:type="spellStart"/>
      <w:r>
        <w:rPr>
          <w:rFonts w:ascii="Arial" w:eastAsia="Times New Roman" w:hAnsi="Arial" w:cs="Arial"/>
          <w:color w:val="000000"/>
          <w:sz w:val="27"/>
          <w:szCs w:val="27"/>
        </w:rPr>
        <w:t>N°</w:t>
      </w:r>
      <w:proofErr w:type="spellEnd"/>
      <w:r>
        <w:rPr>
          <w:rFonts w:ascii="Arial" w:eastAsia="Times New Roman" w:hAnsi="Arial" w:cs="Arial"/>
          <w:color w:val="000000"/>
          <w:sz w:val="27"/>
          <w:szCs w:val="27"/>
        </w:rPr>
        <w:t xml:space="preserve"> 7/2015 (I.G.J.), lo cual no genera hecho imponible incidido por impuesto nacional alguno, conservándose el mismo número de CUIT; por lo que sus efectos impositivos son compatibles con los emergentes de una transformación societaria.</w:t>
      </w:r>
    </w:p>
    <w:p w14:paraId="5F8B1DDF" w14:textId="77777777" w:rsidR="00216DD0" w:rsidRDefault="00216DD0" w:rsidP="00216DD0">
      <w:pPr>
        <w:rPr>
          <w:rFonts w:eastAsia="Times New Roman"/>
          <w:sz w:val="24"/>
          <w:szCs w:val="24"/>
        </w:rPr>
      </w:pPr>
      <w:r>
        <w:rPr>
          <w:rFonts w:eastAsia="Times New Roman"/>
          <w:sz w:val="24"/>
          <w:szCs w:val="24"/>
        </w:rPr>
        <w:pict w14:anchorId="3544896D">
          <v:rect id="_x0000_i1030" style="width:441.9pt;height:.55pt" o:hrstd="t" o:hrnoshade="t" o:hr="t" fillcolor="black" stroked="f"/>
        </w:pict>
      </w:r>
    </w:p>
    <w:p w14:paraId="7705CAC7" w14:textId="77777777" w:rsidR="00216DD0" w:rsidRDefault="00216DD0" w:rsidP="00216DD0">
      <w:pPr>
        <w:spacing w:before="100" w:beforeAutospacing="1" w:after="100" w:afterAutospacing="1"/>
        <w:rPr>
          <w:rFonts w:ascii="Arial" w:eastAsia="Times New Roman" w:hAnsi="Arial" w:cs="Arial"/>
          <w:color w:val="000000"/>
          <w:sz w:val="27"/>
          <w:szCs w:val="27"/>
        </w:rPr>
      </w:pPr>
      <w:r>
        <w:rPr>
          <w:rFonts w:ascii="Arial" w:eastAsia="Times New Roman" w:hAnsi="Arial" w:cs="Arial"/>
          <w:color w:val="000000"/>
          <w:sz w:val="27"/>
          <w:szCs w:val="27"/>
        </w:rPr>
        <w:t>Referencias Normativas:</w:t>
      </w:r>
    </w:p>
    <w:p w14:paraId="34411B2C" w14:textId="77777777" w:rsidR="00216DD0" w:rsidRDefault="00216DD0" w:rsidP="00216DD0">
      <w:pPr>
        <w:numPr>
          <w:ilvl w:val="0"/>
          <w:numId w:val="1"/>
        </w:numPr>
        <w:spacing w:before="100" w:beforeAutospacing="1" w:after="100" w:afterAutospacing="1"/>
        <w:rPr>
          <w:rFonts w:ascii="Arial" w:eastAsia="Times New Roman" w:hAnsi="Arial" w:cs="Arial"/>
          <w:color w:val="000000"/>
          <w:sz w:val="27"/>
          <w:szCs w:val="27"/>
          <w:lang w:val="pt-BR"/>
        </w:rPr>
      </w:pPr>
      <w:hyperlink r:id="rId7" w:history="1">
        <w:proofErr w:type="spellStart"/>
        <w:r>
          <w:rPr>
            <w:rStyle w:val="Hipervnculo"/>
            <w:rFonts w:ascii="Arial" w:eastAsia="Times New Roman" w:hAnsi="Arial" w:cs="Arial"/>
            <w:color w:val="0000FF"/>
            <w:sz w:val="27"/>
            <w:szCs w:val="27"/>
            <w:lang w:val="pt-BR"/>
          </w:rPr>
          <w:t>Ley</w:t>
        </w:r>
        <w:proofErr w:type="spellEnd"/>
        <w:r>
          <w:rPr>
            <w:rStyle w:val="Hipervnculo"/>
            <w:rFonts w:ascii="Arial" w:eastAsia="Times New Roman" w:hAnsi="Arial" w:cs="Arial"/>
            <w:color w:val="0000FF"/>
            <w:sz w:val="27"/>
            <w:szCs w:val="27"/>
            <w:lang w:val="pt-BR"/>
          </w:rPr>
          <w:t xml:space="preserve"> N° 20628</w:t>
        </w:r>
      </w:hyperlink>
      <w:r>
        <w:rPr>
          <w:rFonts w:ascii="Arial" w:eastAsia="Times New Roman" w:hAnsi="Arial" w:cs="Arial"/>
          <w:color w:val="000000"/>
          <w:sz w:val="27"/>
          <w:szCs w:val="27"/>
          <w:lang w:val="pt-BR"/>
        </w:rPr>
        <w:t> Articulo N° 80 (INCISO C))</w:t>
      </w:r>
    </w:p>
    <w:p w14:paraId="40BC2999" w14:textId="77777777" w:rsidR="00216DD0" w:rsidRDefault="00216DD0" w:rsidP="00216DD0">
      <w:pPr>
        <w:numPr>
          <w:ilvl w:val="0"/>
          <w:numId w:val="1"/>
        </w:numPr>
        <w:spacing w:before="100" w:beforeAutospacing="1" w:after="100" w:afterAutospacing="1"/>
        <w:rPr>
          <w:rFonts w:ascii="Arial" w:eastAsia="Times New Roman" w:hAnsi="Arial" w:cs="Arial"/>
          <w:color w:val="000000"/>
          <w:sz w:val="27"/>
          <w:szCs w:val="27"/>
        </w:rPr>
      </w:pPr>
      <w:hyperlink r:id="rId8" w:history="1">
        <w:r>
          <w:rPr>
            <w:rStyle w:val="Hipervnculo"/>
            <w:rFonts w:ascii="Arial" w:eastAsia="Times New Roman" w:hAnsi="Arial" w:cs="Arial"/>
            <w:color w:val="0000FF"/>
            <w:sz w:val="27"/>
            <w:szCs w:val="27"/>
          </w:rPr>
          <w:t xml:space="preserve">Ley </w:t>
        </w:r>
        <w:proofErr w:type="spellStart"/>
        <w:r>
          <w:rPr>
            <w:rStyle w:val="Hipervnculo"/>
            <w:rFonts w:ascii="Arial" w:eastAsia="Times New Roman" w:hAnsi="Arial" w:cs="Arial"/>
            <w:color w:val="0000FF"/>
            <w:sz w:val="27"/>
            <w:szCs w:val="27"/>
          </w:rPr>
          <w:t>N°</w:t>
        </w:r>
        <w:proofErr w:type="spellEnd"/>
        <w:r>
          <w:rPr>
            <w:rStyle w:val="Hipervnculo"/>
            <w:rFonts w:ascii="Arial" w:eastAsia="Times New Roman" w:hAnsi="Arial" w:cs="Arial"/>
            <w:color w:val="0000FF"/>
            <w:sz w:val="27"/>
            <w:szCs w:val="27"/>
          </w:rPr>
          <w:t xml:space="preserve"> 20628</w:t>
        </w:r>
      </w:hyperlink>
      <w:r>
        <w:rPr>
          <w:rFonts w:ascii="Arial" w:eastAsia="Times New Roman" w:hAnsi="Arial" w:cs="Arial"/>
          <w:color w:val="000000"/>
          <w:sz w:val="27"/>
          <w:szCs w:val="27"/>
        </w:rPr>
        <w:t xml:space="preserve"> Articulo </w:t>
      </w:r>
      <w:proofErr w:type="spellStart"/>
      <w:r>
        <w:rPr>
          <w:rFonts w:ascii="Arial" w:eastAsia="Times New Roman" w:hAnsi="Arial" w:cs="Arial"/>
          <w:color w:val="000000"/>
          <w:sz w:val="27"/>
          <w:szCs w:val="27"/>
        </w:rPr>
        <w:t>N°</w:t>
      </w:r>
      <w:proofErr w:type="spellEnd"/>
      <w:r>
        <w:rPr>
          <w:rFonts w:ascii="Arial" w:eastAsia="Times New Roman" w:hAnsi="Arial" w:cs="Arial"/>
          <w:color w:val="000000"/>
          <w:sz w:val="27"/>
          <w:szCs w:val="27"/>
        </w:rPr>
        <w:t xml:space="preserve"> 81</w:t>
      </w:r>
    </w:p>
    <w:p w14:paraId="0D94986B" w14:textId="77777777" w:rsidR="00216DD0" w:rsidRDefault="00216DD0" w:rsidP="00216DD0">
      <w:pPr>
        <w:numPr>
          <w:ilvl w:val="0"/>
          <w:numId w:val="1"/>
        </w:numPr>
        <w:spacing w:before="100" w:beforeAutospacing="1" w:after="100" w:afterAutospacing="1"/>
        <w:rPr>
          <w:rFonts w:ascii="Arial" w:eastAsia="Times New Roman" w:hAnsi="Arial" w:cs="Arial"/>
          <w:color w:val="000000"/>
          <w:sz w:val="27"/>
          <w:szCs w:val="27"/>
        </w:rPr>
      </w:pPr>
      <w:hyperlink r:id="rId9" w:history="1">
        <w:r>
          <w:rPr>
            <w:rStyle w:val="Hipervnculo"/>
            <w:rFonts w:ascii="Arial" w:eastAsia="Times New Roman" w:hAnsi="Arial" w:cs="Arial"/>
            <w:color w:val="0000FF"/>
            <w:sz w:val="27"/>
            <w:szCs w:val="27"/>
          </w:rPr>
          <w:t xml:space="preserve">Decreto </w:t>
        </w:r>
        <w:proofErr w:type="spellStart"/>
        <w:r>
          <w:rPr>
            <w:rStyle w:val="Hipervnculo"/>
            <w:rFonts w:ascii="Arial" w:eastAsia="Times New Roman" w:hAnsi="Arial" w:cs="Arial"/>
            <w:color w:val="0000FF"/>
            <w:sz w:val="27"/>
            <w:szCs w:val="27"/>
          </w:rPr>
          <w:t>N°</w:t>
        </w:r>
        <w:proofErr w:type="spellEnd"/>
        <w:r>
          <w:rPr>
            <w:rStyle w:val="Hipervnculo"/>
            <w:rFonts w:ascii="Arial" w:eastAsia="Times New Roman" w:hAnsi="Arial" w:cs="Arial"/>
            <w:color w:val="0000FF"/>
            <w:sz w:val="27"/>
            <w:szCs w:val="27"/>
          </w:rPr>
          <w:t xml:space="preserve"> 862/2019</w:t>
        </w:r>
      </w:hyperlink>
      <w:r>
        <w:rPr>
          <w:rFonts w:ascii="Arial" w:eastAsia="Times New Roman" w:hAnsi="Arial" w:cs="Arial"/>
          <w:color w:val="000000"/>
          <w:sz w:val="27"/>
          <w:szCs w:val="27"/>
        </w:rPr>
        <w:t xml:space="preserve"> Articulo </w:t>
      </w:r>
      <w:proofErr w:type="spellStart"/>
      <w:r>
        <w:rPr>
          <w:rFonts w:ascii="Arial" w:eastAsia="Times New Roman" w:hAnsi="Arial" w:cs="Arial"/>
          <w:color w:val="000000"/>
          <w:sz w:val="27"/>
          <w:szCs w:val="27"/>
        </w:rPr>
        <w:t>N°</w:t>
      </w:r>
      <w:proofErr w:type="spellEnd"/>
      <w:r>
        <w:rPr>
          <w:rFonts w:ascii="Arial" w:eastAsia="Times New Roman" w:hAnsi="Arial" w:cs="Arial"/>
          <w:color w:val="000000"/>
          <w:sz w:val="27"/>
          <w:szCs w:val="27"/>
        </w:rPr>
        <w:t xml:space="preserve"> 172</w:t>
      </w:r>
    </w:p>
    <w:p w14:paraId="18A7FF70" w14:textId="77777777" w:rsidR="00216DD0" w:rsidRDefault="00216DD0" w:rsidP="00216DD0">
      <w:pPr>
        <w:numPr>
          <w:ilvl w:val="0"/>
          <w:numId w:val="1"/>
        </w:numPr>
        <w:spacing w:before="100" w:beforeAutospacing="1" w:after="100" w:afterAutospacing="1"/>
        <w:rPr>
          <w:rFonts w:ascii="Arial" w:eastAsia="Times New Roman" w:hAnsi="Arial" w:cs="Arial"/>
          <w:color w:val="000000"/>
          <w:sz w:val="27"/>
          <w:szCs w:val="27"/>
        </w:rPr>
      </w:pPr>
      <w:hyperlink r:id="rId10" w:history="1">
        <w:r>
          <w:rPr>
            <w:rStyle w:val="Hipervnculo"/>
            <w:rFonts w:ascii="Arial" w:eastAsia="Times New Roman" w:hAnsi="Arial" w:cs="Arial"/>
            <w:color w:val="0000FF"/>
            <w:sz w:val="27"/>
            <w:szCs w:val="27"/>
          </w:rPr>
          <w:t xml:space="preserve">Decreto </w:t>
        </w:r>
        <w:proofErr w:type="spellStart"/>
        <w:r>
          <w:rPr>
            <w:rStyle w:val="Hipervnculo"/>
            <w:rFonts w:ascii="Arial" w:eastAsia="Times New Roman" w:hAnsi="Arial" w:cs="Arial"/>
            <w:color w:val="0000FF"/>
            <w:sz w:val="27"/>
            <w:szCs w:val="27"/>
          </w:rPr>
          <w:t>N°</w:t>
        </w:r>
        <w:proofErr w:type="spellEnd"/>
        <w:r>
          <w:rPr>
            <w:rStyle w:val="Hipervnculo"/>
            <w:rFonts w:ascii="Arial" w:eastAsia="Times New Roman" w:hAnsi="Arial" w:cs="Arial"/>
            <w:color w:val="0000FF"/>
            <w:sz w:val="27"/>
            <w:szCs w:val="27"/>
          </w:rPr>
          <w:t xml:space="preserve"> 862/2019</w:t>
        </w:r>
      </w:hyperlink>
      <w:r>
        <w:rPr>
          <w:rFonts w:ascii="Arial" w:eastAsia="Times New Roman" w:hAnsi="Arial" w:cs="Arial"/>
          <w:color w:val="000000"/>
          <w:sz w:val="27"/>
          <w:szCs w:val="27"/>
        </w:rPr>
        <w:t xml:space="preserve"> Articulo </w:t>
      </w:r>
      <w:proofErr w:type="spellStart"/>
      <w:r>
        <w:rPr>
          <w:rFonts w:ascii="Arial" w:eastAsia="Times New Roman" w:hAnsi="Arial" w:cs="Arial"/>
          <w:color w:val="000000"/>
          <w:sz w:val="27"/>
          <w:szCs w:val="27"/>
        </w:rPr>
        <w:t>N°</w:t>
      </w:r>
      <w:proofErr w:type="spellEnd"/>
      <w:r>
        <w:rPr>
          <w:rFonts w:ascii="Arial" w:eastAsia="Times New Roman" w:hAnsi="Arial" w:cs="Arial"/>
          <w:color w:val="000000"/>
          <w:sz w:val="27"/>
          <w:szCs w:val="27"/>
        </w:rPr>
        <w:t xml:space="preserve"> 175</w:t>
      </w:r>
    </w:p>
    <w:p w14:paraId="182782AC" w14:textId="11D5CABC" w:rsidR="00C11743" w:rsidRDefault="00C11743"/>
    <w:sectPr w:rsidR="00C1174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7F16D8"/>
    <w:multiLevelType w:val="multilevel"/>
    <w:tmpl w:val="3328D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19512045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5F4"/>
    <w:rsid w:val="00216DD0"/>
    <w:rsid w:val="006558B4"/>
    <w:rsid w:val="007925F4"/>
    <w:rsid w:val="00C11743"/>
    <w:rsid w:val="00E95E9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307B3"/>
  <w15:chartTrackingRefBased/>
  <w15:docId w15:val="{1930E7DF-6E3D-4D91-B4CA-EE48E07D5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A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DD0"/>
    <w:pPr>
      <w:spacing w:after="0" w:line="240" w:lineRule="auto"/>
    </w:pPr>
    <w:rPr>
      <w:rFonts w:ascii="Aptos" w:eastAsia="Aptos" w:hAnsi="Aptos" w:cs="Aptos"/>
      <w:kern w:val="0"/>
      <w:sz w:val="22"/>
      <w:szCs w:val="22"/>
      <w:lang w:eastAsia="es-AR"/>
      <w14:ligatures w14:val="none"/>
    </w:rPr>
  </w:style>
  <w:style w:type="paragraph" w:styleId="Ttulo1">
    <w:name w:val="heading 1"/>
    <w:basedOn w:val="Normal"/>
    <w:next w:val="Normal"/>
    <w:link w:val="Ttulo1Car"/>
    <w:uiPriority w:val="9"/>
    <w:qFormat/>
    <w:rsid w:val="007925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925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925F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925F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925F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925F4"/>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925F4"/>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925F4"/>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925F4"/>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925F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925F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925F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925F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925F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925F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925F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925F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925F4"/>
    <w:rPr>
      <w:rFonts w:eastAsiaTheme="majorEastAsia" w:cstheme="majorBidi"/>
      <w:color w:val="272727" w:themeColor="text1" w:themeTint="D8"/>
    </w:rPr>
  </w:style>
  <w:style w:type="paragraph" w:styleId="Ttulo">
    <w:name w:val="Title"/>
    <w:basedOn w:val="Normal"/>
    <w:next w:val="Normal"/>
    <w:link w:val="TtuloCar"/>
    <w:uiPriority w:val="10"/>
    <w:qFormat/>
    <w:rsid w:val="007925F4"/>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925F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925F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925F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925F4"/>
    <w:pPr>
      <w:spacing w:before="160"/>
      <w:jc w:val="center"/>
    </w:pPr>
    <w:rPr>
      <w:i/>
      <w:iCs/>
      <w:color w:val="404040" w:themeColor="text1" w:themeTint="BF"/>
    </w:rPr>
  </w:style>
  <w:style w:type="character" w:customStyle="1" w:styleId="CitaCar">
    <w:name w:val="Cita Car"/>
    <w:basedOn w:val="Fuentedeprrafopredeter"/>
    <w:link w:val="Cita"/>
    <w:uiPriority w:val="29"/>
    <w:rsid w:val="007925F4"/>
    <w:rPr>
      <w:i/>
      <w:iCs/>
      <w:color w:val="404040" w:themeColor="text1" w:themeTint="BF"/>
    </w:rPr>
  </w:style>
  <w:style w:type="paragraph" w:styleId="Prrafodelista">
    <w:name w:val="List Paragraph"/>
    <w:basedOn w:val="Normal"/>
    <w:uiPriority w:val="34"/>
    <w:qFormat/>
    <w:rsid w:val="007925F4"/>
    <w:pPr>
      <w:ind w:left="720"/>
      <w:contextualSpacing/>
    </w:pPr>
  </w:style>
  <w:style w:type="character" w:styleId="nfasisintenso">
    <w:name w:val="Intense Emphasis"/>
    <w:basedOn w:val="Fuentedeprrafopredeter"/>
    <w:uiPriority w:val="21"/>
    <w:qFormat/>
    <w:rsid w:val="007925F4"/>
    <w:rPr>
      <w:i/>
      <w:iCs/>
      <w:color w:val="0F4761" w:themeColor="accent1" w:themeShade="BF"/>
    </w:rPr>
  </w:style>
  <w:style w:type="paragraph" w:styleId="Citadestacada">
    <w:name w:val="Intense Quote"/>
    <w:basedOn w:val="Normal"/>
    <w:next w:val="Normal"/>
    <w:link w:val="CitadestacadaCar"/>
    <w:uiPriority w:val="30"/>
    <w:qFormat/>
    <w:rsid w:val="007925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925F4"/>
    <w:rPr>
      <w:i/>
      <w:iCs/>
      <w:color w:val="0F4761" w:themeColor="accent1" w:themeShade="BF"/>
    </w:rPr>
  </w:style>
  <w:style w:type="character" w:styleId="Referenciaintensa">
    <w:name w:val="Intense Reference"/>
    <w:basedOn w:val="Fuentedeprrafopredeter"/>
    <w:uiPriority w:val="32"/>
    <w:qFormat/>
    <w:rsid w:val="007925F4"/>
    <w:rPr>
      <w:b/>
      <w:bCs/>
      <w:smallCaps/>
      <w:color w:val="0F4761" w:themeColor="accent1" w:themeShade="BF"/>
      <w:spacing w:val="5"/>
    </w:rPr>
  </w:style>
  <w:style w:type="character" w:styleId="Hipervnculo">
    <w:name w:val="Hyperlink"/>
    <w:basedOn w:val="Fuentedeprrafopredeter"/>
    <w:uiPriority w:val="99"/>
    <w:semiHidden/>
    <w:unhideWhenUsed/>
    <w:rsid w:val="00216DD0"/>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802320">
      <w:bodyDiv w:val="1"/>
      <w:marLeft w:val="0"/>
      <w:marRight w:val="0"/>
      <w:marTop w:val="0"/>
      <w:marBottom w:val="0"/>
      <w:divBdr>
        <w:top w:val="none" w:sz="0" w:space="0" w:color="auto"/>
        <w:left w:val="none" w:sz="0" w:space="0" w:color="auto"/>
        <w:bottom w:val="none" w:sz="0" w:space="0" w:color="auto"/>
        <w:right w:val="none" w:sz="0" w:space="0" w:color="auto"/>
      </w:divBdr>
      <w:divsChild>
        <w:div w:id="2136243956">
          <w:marLeft w:val="0"/>
          <w:marRight w:val="0"/>
          <w:marTop w:val="0"/>
          <w:marBottom w:val="0"/>
          <w:divBdr>
            <w:top w:val="none" w:sz="0" w:space="0" w:color="auto"/>
            <w:left w:val="none" w:sz="0" w:space="0" w:color="auto"/>
            <w:bottom w:val="none" w:sz="0" w:space="0" w:color="auto"/>
            <w:right w:val="none" w:sz="0" w:space="0" w:color="auto"/>
          </w:divBdr>
        </w:div>
        <w:div w:id="48961645">
          <w:marLeft w:val="0"/>
          <w:marRight w:val="0"/>
          <w:marTop w:val="0"/>
          <w:marBottom w:val="0"/>
          <w:divBdr>
            <w:top w:val="none" w:sz="0" w:space="0" w:color="auto"/>
            <w:left w:val="none" w:sz="0" w:space="0" w:color="auto"/>
            <w:bottom w:val="none" w:sz="0" w:space="0" w:color="auto"/>
            <w:right w:val="none" w:sz="0" w:space="0" w:color="auto"/>
          </w:divBdr>
        </w:div>
        <w:div w:id="328413689">
          <w:marLeft w:val="0"/>
          <w:marRight w:val="0"/>
          <w:marTop w:val="0"/>
          <w:marBottom w:val="0"/>
          <w:divBdr>
            <w:top w:val="none" w:sz="0" w:space="0" w:color="auto"/>
            <w:left w:val="none" w:sz="0" w:space="0" w:color="auto"/>
            <w:bottom w:val="none" w:sz="0" w:space="0" w:color="auto"/>
            <w:right w:val="none" w:sz="0" w:space="0" w:color="auto"/>
          </w:divBdr>
        </w:div>
        <w:div w:id="6466648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m10.safelinks.protection.outlook.com/?url=https%3A%2F%2Fbiblioteca.afip.gob.ar%2Fdcp%2FLEY_C_020628_2019_12_05%23articulo_81&amp;data=05%7C02%7CWK%40marval.com%7C2d369b87a3284647edb608dd72f243eb%7C3b41ec51a6d84fa49afd6a753765ca21%7C0%7C0%7C638793107040712183%7CUnknown%7CTWFpbGZsb3d8eyJFbXB0eU1hcGkiOnRydWUsIlYiOiIwLjAuMDAwMCIsIlAiOiJXaW4zMiIsIkFOIjoiTWFpbCIsIldUIjoyfQ%3D%3D%7C0%7C%7C%7C&amp;sdata=O1zkJvzdfWcfh9G35%2FhYAywaxvY25GnZw0BNTKHtK54%3D&amp;reserved=0" TargetMode="External"/><Relationship Id="rId3" Type="http://schemas.openxmlformats.org/officeDocument/2006/relationships/settings" Target="settings.xml"/><Relationship Id="rId7" Type="http://schemas.openxmlformats.org/officeDocument/2006/relationships/hyperlink" Target="https://nam10.safelinks.protection.outlook.com/?url=https%3A%2F%2Fbiblioteca.afip.gob.ar%2Fdcp%2FLEY_C_020628_2019_12_05%23articulo_80&amp;data=05%7C02%7CWK%40marval.com%7C2d369b87a3284647edb608dd72f243eb%7C3b41ec51a6d84fa49afd6a753765ca21%7C0%7C0%7C638793107040694858%7CUnknown%7CTWFpbGZsb3d8eyJFbXB0eU1hcGkiOnRydWUsIlYiOiIwLjAuMDAwMCIsIlAiOiJXaW4zMiIsIkFOIjoiTWFpbCIsIldUIjoyfQ%3D%3D%7C0%7C%7C%7C&amp;sdata=XlDo0UjIKPDoHiyYQJcNwoIxQOq3VNNgASt574ElmHM%3D&amp;reserved=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4.png@01DBA4C1.F9F75160"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nam10.safelinks.protection.outlook.com/?url=https%3A%2F%2Fbiblioteca.afip.gob.ar%2Fdcp%2FDEC_C_000862_2019_12_06%23articulo_175&amp;data=05%7C02%7CWK%40marval.com%7C2d369b87a3284647edb608dd72f243eb%7C3b41ec51a6d84fa49afd6a753765ca21%7C0%7C0%7C638793107040728598%7CUnknown%7CTWFpbGZsb3d8eyJFbXB0eU1hcGkiOnRydWUsIlYiOiIwLjAuMDAwMCIsIlAiOiJXaW4zMiIsIkFOIjoiTWFpbCIsIldUIjoyfQ%3D%3D%7C0%7C%7C%7C&amp;sdata=d62Nn%2F7etSvd8OKhPq3T7IhFI0XCnTKOeexXNq%2FYZhc%3D&amp;reserved=0" TargetMode="External"/><Relationship Id="rId4" Type="http://schemas.openxmlformats.org/officeDocument/2006/relationships/webSettings" Target="webSettings.xml"/><Relationship Id="rId9" Type="http://schemas.openxmlformats.org/officeDocument/2006/relationships/hyperlink" Target="https://nam10.safelinks.protection.outlook.com/?url=https%3A%2F%2Fbiblioteca.afip.gob.ar%2Fdcp%2FDEC_C_000862_2019_12_06%23articulo_172&amp;data=05%7C02%7CWK%40marval.com%7C2d369b87a3284647edb608dd72f243eb%7C3b41ec51a6d84fa49afd6a753765ca21%7C0%7C0%7C638793107040720372%7CUnknown%7CTWFpbGZsb3d8eyJFbXB0eU1hcGkiOnRydWUsIlYiOiIwLjAuMDAwMCIsIlAiOiJXaW4zMiIsIkFOIjoiTWFpbCIsIldUIjoyfQ%3D%3D%7C0%7C%7C%7C&amp;sdata=%2Fv33o1KZ6dLvdMuHcuhJgy44N6cqzFXCX6eHeOHED8M%3D&amp;reserved=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958</Words>
  <Characters>5269</Characters>
  <Application>Microsoft Office Word</Application>
  <DocSecurity>0</DocSecurity>
  <Lines>43</Lines>
  <Paragraphs>12</Paragraphs>
  <ScaleCrop>false</ScaleCrop>
  <Company/>
  <LinksUpToDate>false</LinksUpToDate>
  <CharactersWithSpaces>6215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Keiniger</dc:creator>
  <cp:keywords/>
  <dc:description/>
  <cp:lastModifiedBy>Walter Keiniger</cp:lastModifiedBy>
  <cp:revision>2</cp:revision>
  <dcterms:created xsi:type="dcterms:W3CDTF">2025-04-09T20:45:00Z</dcterms:created>
  <dcterms:modified xsi:type="dcterms:W3CDTF">2025-04-09T20:46:00Z</dcterms:modified>
</cp:coreProperties>
</file>